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14831" w14:textId="021ACC5F" w:rsidR="00C515E3" w:rsidRPr="00C95EE7" w:rsidRDefault="00C515E3" w:rsidP="002D05BB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Opracowując </w:t>
      </w:r>
      <w:r w:rsidRPr="00044FC5">
        <w:rPr>
          <w:rFonts w:eastAsia="Times New Roman" w:cstheme="minorHAnsi"/>
          <w:b/>
          <w:bCs/>
          <w:color w:val="222222"/>
          <w:sz w:val="24"/>
          <w:szCs w:val="24"/>
          <w:shd w:val="clear" w:color="auto" w:fill="FFFFFF"/>
          <w:lang w:eastAsia="pl-PL"/>
        </w:rPr>
        <w:t>Model kompetencji i umiejętności tranzycji uczniów na rynek pracy dokonaliśmy</w:t>
      </w: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 analizy:</w:t>
      </w:r>
    </w:p>
    <w:p w14:paraId="591EFA9A" w14:textId="64B0D6C9" w:rsidR="00C515E3" w:rsidRPr="00C95EE7" w:rsidRDefault="00C515E3" w:rsidP="002D05BB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>- dokumentów i rekomendacji dla oświaty</w:t>
      </w:r>
    </w:p>
    <w:p w14:paraId="50F3F304" w14:textId="7236592A" w:rsidR="00C515E3" w:rsidRPr="00C95EE7" w:rsidRDefault="00C515E3" w:rsidP="002D05BB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- dokumentów formalnych i prawnych </w:t>
      </w:r>
    </w:p>
    <w:p w14:paraId="4E53AACE" w14:textId="12ECB259" w:rsidR="00C515E3" w:rsidRPr="00C95EE7" w:rsidRDefault="00C515E3" w:rsidP="002D05BB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>- raportów i analiz rynku pracy w zakresie</w:t>
      </w:r>
      <w:r w:rsidR="00A42345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 zapotrzebowania na</w:t>
      </w: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 kompetencj</w:t>
      </w:r>
      <w:r w:rsidR="00A42345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>e</w:t>
      </w: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  </w:t>
      </w:r>
    </w:p>
    <w:p w14:paraId="13261E07" w14:textId="77777777" w:rsidR="00C515E3" w:rsidRPr="00C95EE7" w:rsidRDefault="00C515E3" w:rsidP="002D05BB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</w:pPr>
    </w:p>
    <w:p w14:paraId="13614E4B" w14:textId="66E1C432" w:rsidR="002D05BB" w:rsidRPr="00C95EE7" w:rsidRDefault="00C515E3" w:rsidP="002D05BB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Podstawą do opracowania modelu były rekomendacje zawarte w Zintegrowanej Strategii Umiejętności </w:t>
      </w:r>
      <w:r w:rsidR="002D05BB"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>2030, część ogólna</w:t>
      </w: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>,</w:t>
      </w:r>
      <w:r w:rsidR="002D05BB"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punkt 6.2. Oświata, </w:t>
      </w:r>
      <w:r w:rsidR="002D05BB" w:rsidRPr="00C95EE7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>s. 40:</w:t>
      </w:r>
    </w:p>
    <w:p w14:paraId="170541C8" w14:textId="77777777" w:rsidR="002D05BB" w:rsidRPr="00C95EE7" w:rsidRDefault="002D05BB" w:rsidP="002D05B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</w:p>
    <w:p w14:paraId="3FB9416A" w14:textId="77777777" w:rsidR="002D05BB" w:rsidRPr="00C95EE7" w:rsidRDefault="002D05BB" w:rsidP="002D05B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C95EE7">
        <w:rPr>
          <w:rFonts w:eastAsia="Times New Roman" w:cstheme="minorHAnsi"/>
          <w:color w:val="222222"/>
          <w:sz w:val="24"/>
          <w:szCs w:val="24"/>
          <w:lang w:eastAsia="pl-PL"/>
        </w:rPr>
        <w:t>"Zadaniem szkoły jest przygotowanie uczniów do wyboru kierunku kształcenia i zawodu. Skuteczne doradztwo zawodowe i edukacja zawodowa prowadzone w szkole odgrywają istotną rolę w procesie podejmowania decyzji edukacyjnych i zawodowych. Stymulują do zadawania sobie szeregu pytań w obszarze</w:t>
      </w:r>
      <w:r w:rsidRPr="00C95EE7">
        <w:rPr>
          <w:rFonts w:eastAsia="Times New Roman" w:cstheme="minorHAnsi"/>
          <w:color w:val="FF0000"/>
          <w:sz w:val="24"/>
          <w:szCs w:val="24"/>
          <w:lang w:eastAsia="pl-PL"/>
        </w:rPr>
        <w:t> rozumienia samego siebie, rozumienia świata, zarządzania własnym życiem, budowania relacji i przedsiębiorczości.</w:t>
      </w:r>
      <w:r w:rsidRPr="00C95EE7">
        <w:rPr>
          <w:rFonts w:eastAsia="Times New Roman" w:cstheme="minorHAnsi"/>
          <w:color w:val="222222"/>
          <w:sz w:val="24"/>
          <w:szCs w:val="24"/>
          <w:lang w:eastAsia="pl-PL"/>
        </w:rPr>
        <w:t> Doradztwo zawodowe to proces, który rozpoczyna się w okresie przedszkolnym i jest kontynuowany na kolejnych etapach edukacyjnych. Polega na podejmowaniu działań w celu wspierania dzieci, uczniów oraz słuchaczy w procesie rozpoznawania zainteresowań i predyspozycji zawodowych, przygotowania do wyboru kolejnego etapu kształcenia i zawodu. Doradztwo zawodowe jest już systematycznie wzmacniane poprzez rozwiązania prawne, organizacyjne i metodyczne.   </w:t>
      </w:r>
    </w:p>
    <w:p w14:paraId="410F5C58" w14:textId="77777777" w:rsidR="002D05BB" w:rsidRPr="00C95EE7" w:rsidRDefault="002D05BB" w:rsidP="002D05B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</w:p>
    <w:p w14:paraId="055677D6" w14:textId="7F300225" w:rsidR="002D05BB" w:rsidRPr="00C95EE7" w:rsidRDefault="002D05BB" w:rsidP="002D05B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C95EE7">
        <w:rPr>
          <w:rFonts w:eastAsia="Times New Roman" w:cstheme="minorHAnsi"/>
          <w:color w:val="222222"/>
          <w:sz w:val="24"/>
          <w:szCs w:val="24"/>
          <w:lang w:eastAsia="pl-PL"/>
        </w:rPr>
        <w:t>W oparciu o ten zapis podziel</w:t>
      </w:r>
      <w:r w:rsidR="00C515E3" w:rsidRPr="00C95EE7">
        <w:rPr>
          <w:rFonts w:eastAsia="Times New Roman" w:cstheme="minorHAnsi"/>
          <w:color w:val="222222"/>
          <w:sz w:val="24"/>
          <w:szCs w:val="24"/>
          <w:lang w:eastAsia="pl-PL"/>
        </w:rPr>
        <w:t xml:space="preserve">ono Model na </w:t>
      </w:r>
      <w:r w:rsidRPr="00C95EE7">
        <w:rPr>
          <w:rFonts w:eastAsia="Times New Roman" w:cstheme="minorHAnsi"/>
          <w:color w:val="222222"/>
          <w:sz w:val="24"/>
          <w:szCs w:val="24"/>
          <w:lang w:eastAsia="pl-PL"/>
        </w:rPr>
        <w:t>4 obszary.</w:t>
      </w:r>
    </w:p>
    <w:p w14:paraId="6FCF3B60" w14:textId="7C25CE7A" w:rsidR="00C515E3" w:rsidRPr="00C95EE7" w:rsidRDefault="00C515E3" w:rsidP="002D05B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</w:p>
    <w:p w14:paraId="516F2138" w14:textId="7894411B" w:rsidR="00C515E3" w:rsidRPr="00C95EE7" w:rsidRDefault="00C515E3" w:rsidP="002D05B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C95EE7">
        <w:rPr>
          <w:rFonts w:eastAsia="Times New Roman" w:cstheme="minorHAnsi"/>
          <w:color w:val="222222"/>
          <w:sz w:val="24"/>
          <w:szCs w:val="24"/>
          <w:lang w:eastAsia="pl-PL"/>
        </w:rPr>
        <w:t xml:space="preserve">W opracowywaniu umiejętności cząstkowych </w:t>
      </w:r>
      <w:r w:rsidR="00795213" w:rsidRPr="00C95EE7">
        <w:rPr>
          <w:rFonts w:eastAsia="Times New Roman" w:cstheme="minorHAnsi"/>
          <w:color w:val="222222"/>
          <w:sz w:val="24"/>
          <w:szCs w:val="24"/>
          <w:lang w:eastAsia="pl-PL"/>
        </w:rPr>
        <w:t xml:space="preserve">w Modelu odniesiono się również do rekomendacji zawartych w ZSU 2030 część szczegółowa, szczególnie do charakterystyk </w:t>
      </w:r>
      <w:r w:rsidR="00795213" w:rsidRPr="00C95EE7"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  <w:t>umiejętności przekrojowych</w:t>
      </w:r>
      <w:r w:rsidR="00A212CD" w:rsidRPr="00C95EE7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opisanych na </w:t>
      </w:r>
      <w:r w:rsidR="00795213" w:rsidRPr="00C95EE7">
        <w:rPr>
          <w:rFonts w:eastAsia="Times New Roman" w:cstheme="minorHAnsi"/>
          <w:color w:val="222222"/>
          <w:sz w:val="24"/>
          <w:szCs w:val="24"/>
          <w:lang w:eastAsia="pl-PL"/>
        </w:rPr>
        <w:t>str. 4 i str. 58.</w:t>
      </w:r>
    </w:p>
    <w:p w14:paraId="6A92953A" w14:textId="1473CBFB" w:rsidR="00A212CD" w:rsidRPr="00C95EE7" w:rsidRDefault="00A212CD" w:rsidP="002D05B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</w:p>
    <w:p w14:paraId="714528D8" w14:textId="3CAD7F70" w:rsidR="002E2B14" w:rsidRPr="00C95EE7" w:rsidRDefault="00ED05A5" w:rsidP="00ED05A5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C95EE7">
        <w:rPr>
          <w:rFonts w:cstheme="minorHAnsi"/>
          <w:sz w:val="24"/>
          <w:szCs w:val="24"/>
        </w:rPr>
        <w:t xml:space="preserve">Odnieśliśmy się również do rozporządzenia Ministra Edukacji Narodowej z dnia 12 lutego 2019 r. w sprawie doradztwa zawodowego, (dz. u. z 2019 r. poz. 325). W załączników nr 1-7 do tego rozporządzenia, w których wskazano treści programowe z zakresu doradztwa zawodowego dla </w:t>
      </w:r>
      <w:r w:rsidR="00A562B6">
        <w:rPr>
          <w:rFonts w:cstheme="minorHAnsi"/>
          <w:sz w:val="24"/>
          <w:szCs w:val="24"/>
        </w:rPr>
        <w:t xml:space="preserve">przedszkoli, </w:t>
      </w:r>
      <w:r w:rsidRPr="00C95EE7">
        <w:rPr>
          <w:rFonts w:cstheme="minorHAnsi"/>
          <w:sz w:val="24"/>
          <w:szCs w:val="24"/>
        </w:rPr>
        <w:t>szkół podstawowych i ponadpod</w:t>
      </w:r>
      <w:r w:rsidR="00795E96" w:rsidRPr="00C95EE7">
        <w:rPr>
          <w:rFonts w:cstheme="minorHAnsi"/>
          <w:sz w:val="24"/>
          <w:szCs w:val="24"/>
        </w:rPr>
        <w:t>staw</w:t>
      </w:r>
      <w:r w:rsidRPr="00C95EE7">
        <w:rPr>
          <w:rFonts w:cstheme="minorHAnsi"/>
          <w:sz w:val="24"/>
          <w:szCs w:val="24"/>
        </w:rPr>
        <w:t xml:space="preserve">owych. </w:t>
      </w:r>
      <w:r w:rsidR="00795E96" w:rsidRPr="00C95EE7">
        <w:rPr>
          <w:rFonts w:cstheme="minorHAnsi"/>
          <w:sz w:val="24"/>
          <w:szCs w:val="24"/>
        </w:rPr>
        <w:t xml:space="preserve">Dbając aby Model odnosił się w wskazanych treści i obszarów. </w:t>
      </w:r>
    </w:p>
    <w:p w14:paraId="74D65103" w14:textId="3A3172E3" w:rsidR="00A71168" w:rsidRDefault="00A71168">
      <w:pPr>
        <w:rPr>
          <w:rFonts w:cstheme="minorHAnsi"/>
          <w:sz w:val="24"/>
          <w:szCs w:val="24"/>
        </w:rPr>
      </w:pPr>
    </w:p>
    <w:p w14:paraId="16113726" w14:textId="77281817" w:rsidR="00255208" w:rsidRDefault="00197AD6">
      <w:pPr>
        <w:rPr>
          <w:rFonts w:cstheme="minorHAnsi"/>
          <w:b/>
          <w:bCs/>
        </w:rPr>
      </w:pPr>
      <w:r>
        <w:rPr>
          <w:rFonts w:cstheme="minorHAnsi"/>
          <w:sz w:val="24"/>
          <w:szCs w:val="24"/>
        </w:rPr>
        <w:t>Kolejnym źródłem analiz były raporty i analizy rynku pracy dotyczące zapotrzebowania na kompetencje, między innymi raporty PARP, IBE</w:t>
      </w:r>
      <w:r w:rsidR="00FF0386">
        <w:rPr>
          <w:rFonts w:cstheme="minorHAnsi"/>
          <w:sz w:val="24"/>
          <w:szCs w:val="24"/>
        </w:rPr>
        <w:t xml:space="preserve">, </w:t>
      </w:r>
      <w:r w:rsidR="00FF0386" w:rsidRPr="00FF0386">
        <w:rPr>
          <w:rStyle w:val="Pogrubienie"/>
          <w:rFonts w:cstheme="minorHAnsi"/>
          <w:b w:val="0"/>
          <w:bCs w:val="0"/>
          <w:color w:val="000000"/>
          <w:shd w:val="clear" w:color="auto" w:fill="FFFFFF"/>
        </w:rPr>
        <w:t xml:space="preserve">World </w:t>
      </w:r>
      <w:proofErr w:type="spellStart"/>
      <w:r w:rsidR="00FF0386" w:rsidRPr="00FF0386">
        <w:rPr>
          <w:rStyle w:val="Pogrubienie"/>
          <w:rFonts w:cstheme="minorHAnsi"/>
          <w:b w:val="0"/>
          <w:bCs w:val="0"/>
          <w:color w:val="000000"/>
          <w:shd w:val="clear" w:color="auto" w:fill="FFFFFF"/>
        </w:rPr>
        <w:t>Economic</w:t>
      </w:r>
      <w:proofErr w:type="spellEnd"/>
      <w:r w:rsidR="00FF0386" w:rsidRPr="00FF0386">
        <w:rPr>
          <w:rStyle w:val="Pogrubienie"/>
          <w:rFonts w:cstheme="minorHAnsi"/>
          <w:b w:val="0"/>
          <w:bCs w:val="0"/>
          <w:color w:val="000000"/>
          <w:shd w:val="clear" w:color="auto" w:fill="FFFFFF"/>
        </w:rPr>
        <w:t xml:space="preserve"> Forum</w:t>
      </w:r>
      <w:r w:rsidR="00FF0386">
        <w:rPr>
          <w:rStyle w:val="Pogrubienie"/>
          <w:rFonts w:cstheme="minorHAnsi"/>
          <w:b w:val="0"/>
          <w:bCs w:val="0"/>
          <w:color w:val="000000"/>
          <w:shd w:val="clear" w:color="auto" w:fill="FFFFFF"/>
        </w:rPr>
        <w:t xml:space="preserve"> i innych</w:t>
      </w:r>
      <w:r w:rsidRPr="00FF0386">
        <w:rPr>
          <w:rFonts w:cstheme="minorHAnsi"/>
          <w:b/>
          <w:bCs/>
        </w:rPr>
        <w:t xml:space="preserve">. </w:t>
      </w:r>
    </w:p>
    <w:p w14:paraId="6AE5C02B" w14:textId="58083636" w:rsidR="003C209A" w:rsidRPr="003C209A" w:rsidRDefault="003C209A">
      <w:pPr>
        <w:rPr>
          <w:rFonts w:cstheme="minorHAnsi"/>
        </w:rPr>
      </w:pPr>
      <w:r>
        <w:rPr>
          <w:rFonts w:cstheme="minorHAnsi"/>
        </w:rPr>
        <w:t>Analiza w</w:t>
      </w:r>
      <w:r w:rsidRPr="003C209A">
        <w:rPr>
          <w:rFonts w:cstheme="minorHAnsi"/>
        </w:rPr>
        <w:t>skazan</w:t>
      </w:r>
      <w:r>
        <w:rPr>
          <w:rFonts w:cstheme="minorHAnsi"/>
        </w:rPr>
        <w:t>ych</w:t>
      </w:r>
      <w:r w:rsidRPr="003C209A">
        <w:rPr>
          <w:rFonts w:cstheme="minorHAnsi"/>
        </w:rPr>
        <w:t xml:space="preserve"> źród</w:t>
      </w:r>
      <w:r>
        <w:rPr>
          <w:rFonts w:cstheme="minorHAnsi"/>
        </w:rPr>
        <w:t xml:space="preserve">eł doprowadziła nas do opracowania Modelu </w:t>
      </w:r>
      <w:r w:rsidR="006D5F5B">
        <w:rPr>
          <w:rFonts w:cstheme="minorHAnsi"/>
        </w:rPr>
        <w:t xml:space="preserve">dostosowanego do </w:t>
      </w:r>
      <w:r>
        <w:rPr>
          <w:rFonts w:cstheme="minorHAnsi"/>
        </w:rPr>
        <w:t>potrzeb</w:t>
      </w:r>
      <w:r w:rsidR="006D5F5B">
        <w:rPr>
          <w:rFonts w:cstheme="minorHAnsi"/>
        </w:rPr>
        <w:t xml:space="preserve"> </w:t>
      </w:r>
      <w:r>
        <w:rPr>
          <w:rFonts w:cstheme="minorHAnsi"/>
        </w:rPr>
        <w:t>szkoły i projektu.</w:t>
      </w:r>
      <w:r w:rsidRPr="003C209A">
        <w:rPr>
          <w:rFonts w:cstheme="minorHAnsi"/>
        </w:rPr>
        <w:t xml:space="preserve"> </w:t>
      </w:r>
    </w:p>
    <w:p w14:paraId="26C871DE" w14:textId="54D01F41" w:rsidR="009E201F" w:rsidRDefault="009E201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Źródła:</w:t>
      </w:r>
    </w:p>
    <w:p w14:paraId="4F4BE28B" w14:textId="45D922F3" w:rsidR="009E201F" w:rsidRPr="00EB4808" w:rsidRDefault="006A69CF" w:rsidP="00EB4808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hyperlink r:id="rId5" w:history="1">
        <w:r w:rsidR="009E201F" w:rsidRPr="00EB4808">
          <w:rPr>
            <w:rStyle w:val="Hipercze"/>
            <w:rFonts w:cstheme="minorHAnsi"/>
            <w:sz w:val="24"/>
            <w:szCs w:val="24"/>
          </w:rPr>
          <w:t>https://isap.sejm.gov.pl/isap.nsf/DocDetails.xsp?id=WDU20190000325</w:t>
        </w:r>
      </w:hyperlink>
    </w:p>
    <w:p w14:paraId="74FE9C4A" w14:textId="4C703E46" w:rsidR="009E201F" w:rsidRPr="00EB4808" w:rsidRDefault="006A69CF" w:rsidP="00EB4808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hyperlink r:id="rId6" w:history="1">
        <w:r w:rsidR="009E201F" w:rsidRPr="00EB4808">
          <w:rPr>
            <w:rStyle w:val="Hipercze"/>
            <w:rFonts w:cstheme="minorHAnsi"/>
            <w:sz w:val="24"/>
            <w:szCs w:val="24"/>
          </w:rPr>
          <w:t>https://www.gov.pl/web/edukacja/zintegrowana-strategia-umiejetnosci-2030-czesc-szczegolowa--dokument-przyjety-przez-rade-ministrow</w:t>
        </w:r>
      </w:hyperlink>
    </w:p>
    <w:p w14:paraId="228A62D2" w14:textId="520DD0C2" w:rsidR="009E201F" w:rsidRPr="00EB4808" w:rsidRDefault="006A69CF" w:rsidP="00EB4808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hyperlink r:id="rId7" w:history="1">
        <w:r w:rsidR="009E201F" w:rsidRPr="00EB4808">
          <w:rPr>
            <w:rStyle w:val="Hipercze"/>
            <w:rFonts w:cstheme="minorHAnsi"/>
            <w:sz w:val="24"/>
            <w:szCs w:val="24"/>
          </w:rPr>
          <w:t>https://www.gov.pl/web/edukacja/czesc-ogolna-zsu-2030</w:t>
        </w:r>
      </w:hyperlink>
    </w:p>
    <w:p w14:paraId="51D3B09D" w14:textId="77777777" w:rsidR="00A81E4D" w:rsidRDefault="00EB4808" w:rsidP="00A81E4D">
      <w:pPr>
        <w:pStyle w:val="Pa0"/>
        <w:numPr>
          <w:ilvl w:val="0"/>
          <w:numId w:val="1"/>
        </w:numPr>
        <w:spacing w:after="780" w:line="240" w:lineRule="auto"/>
        <w:rPr>
          <w:rStyle w:val="A2"/>
          <w:rFonts w:asciiTheme="minorHAnsi" w:hAnsiTheme="minorHAnsi" w:cstheme="minorHAnsi"/>
          <w:sz w:val="22"/>
          <w:szCs w:val="22"/>
        </w:rPr>
      </w:pPr>
      <w:r w:rsidRPr="00EB4808">
        <w:rPr>
          <w:rFonts w:asciiTheme="minorHAnsi" w:hAnsiTheme="minorHAnsi" w:cstheme="minorHAnsi"/>
          <w:color w:val="000000"/>
          <w:sz w:val="22"/>
          <w:szCs w:val="22"/>
        </w:rPr>
        <w:t>Jesionek R. (red.) Praca i kompe</w:t>
      </w:r>
      <w:r w:rsidRPr="00EB4808">
        <w:rPr>
          <w:rFonts w:asciiTheme="minorHAnsi" w:hAnsiTheme="minorHAnsi" w:cstheme="minorHAnsi"/>
          <w:color w:val="000000"/>
          <w:sz w:val="22"/>
          <w:szCs w:val="22"/>
        </w:rPr>
        <w:softHyphen/>
        <w:t>tencje przy</w:t>
      </w:r>
      <w:r w:rsidRPr="00EB4808">
        <w:rPr>
          <w:rFonts w:asciiTheme="minorHAnsi" w:hAnsiTheme="minorHAnsi" w:cstheme="minorHAnsi"/>
          <w:color w:val="000000"/>
          <w:sz w:val="22"/>
          <w:szCs w:val="22"/>
        </w:rPr>
        <w:softHyphen/>
        <w:t xml:space="preserve">szłości. Wyzwania edukacyjne </w:t>
      </w:r>
      <w:r w:rsidRPr="00EB4808">
        <w:rPr>
          <w:rStyle w:val="A2"/>
          <w:rFonts w:asciiTheme="minorHAnsi" w:hAnsiTheme="minorHAnsi" w:cstheme="minorHAnsi"/>
          <w:sz w:val="22"/>
          <w:szCs w:val="22"/>
        </w:rPr>
        <w:t>Warszawskie Centrum Innowacji Edukacyjno-Społecznych i Szkoleń, Warszawa 2023</w:t>
      </w:r>
    </w:p>
    <w:p w14:paraId="5F5F8885" w14:textId="77777777" w:rsidR="00FD505A" w:rsidRPr="00FD505A" w:rsidRDefault="00A81E4D" w:rsidP="000B1122">
      <w:pPr>
        <w:pStyle w:val="Pa0"/>
        <w:numPr>
          <w:ilvl w:val="0"/>
          <w:numId w:val="1"/>
        </w:num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FD505A">
        <w:rPr>
          <w:rFonts w:asciiTheme="minorHAnsi" w:hAnsiTheme="minorHAnsi" w:cstheme="minorHAnsi"/>
          <w:sz w:val="22"/>
          <w:szCs w:val="22"/>
        </w:rPr>
        <w:lastRenderedPageBreak/>
        <w:t>Pater R.  Zapotrzebowanie na umiejętności na rynku pracy i w przestrzeni życia społecznego w Polsce, Edukacja 2019, 2(149), 85–100, DOI 10.24131/3724.190208.</w:t>
      </w:r>
    </w:p>
    <w:p w14:paraId="20176A11" w14:textId="77777777" w:rsidR="007F4CE2" w:rsidRDefault="00007374" w:rsidP="007F4CE2">
      <w:pPr>
        <w:pStyle w:val="Pa0"/>
        <w:numPr>
          <w:ilvl w:val="0"/>
          <w:numId w:val="1"/>
        </w:num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FD505A">
        <w:rPr>
          <w:rFonts w:ascii="Calibri" w:hAnsi="Calibri" w:cs="Calibri"/>
          <w:color w:val="000000"/>
          <w:sz w:val="22"/>
          <w:szCs w:val="22"/>
        </w:rPr>
        <w:t>Edukacja dla wszystkich – ramy rozwiązań legislacyjno-organizacyjnych na rzecz wysokiej jakości kształcenia włączającego dla wszystkich osób uczących się</w:t>
      </w:r>
      <w:r w:rsidR="00FD505A" w:rsidRPr="00FD505A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FD04F0">
        <w:rPr>
          <w:rFonts w:ascii="Calibri" w:hAnsi="Calibri" w:cs="Calibri"/>
          <w:color w:val="000000"/>
          <w:sz w:val="22"/>
          <w:szCs w:val="22"/>
        </w:rPr>
        <w:t xml:space="preserve">MEW, </w:t>
      </w:r>
      <w:r w:rsidR="00FD505A" w:rsidRPr="00FD505A">
        <w:rPr>
          <w:rFonts w:ascii="Calibri" w:hAnsi="Calibri" w:cs="Calibri"/>
          <w:color w:val="000000"/>
          <w:sz w:val="22"/>
          <w:szCs w:val="22"/>
        </w:rPr>
        <w:t>Warszawa 2020</w:t>
      </w:r>
    </w:p>
    <w:p w14:paraId="6A908E2B" w14:textId="56CA5011" w:rsidR="007F4CE2" w:rsidRDefault="00C06916" w:rsidP="00E63084">
      <w:pPr>
        <w:pStyle w:val="Pa0"/>
        <w:numPr>
          <w:ilvl w:val="0"/>
          <w:numId w:val="1"/>
        </w:numPr>
        <w:spacing w:line="240" w:lineRule="auto"/>
        <w:rPr>
          <w:rStyle w:val="Hipercze"/>
          <w:rFonts w:asciiTheme="minorHAnsi" w:hAnsiTheme="minorHAnsi" w:cstheme="minorHAnsi"/>
          <w:sz w:val="22"/>
          <w:szCs w:val="22"/>
        </w:rPr>
      </w:pPr>
      <w:r w:rsidRPr="007F4CE2">
        <w:rPr>
          <w:rFonts w:asciiTheme="minorHAnsi" w:hAnsiTheme="minorHAnsi" w:cstheme="minorHAnsi"/>
          <w:sz w:val="22"/>
          <w:szCs w:val="22"/>
        </w:rPr>
        <w:t xml:space="preserve">Zalecenie Rady </w:t>
      </w:r>
      <w:r>
        <w:rPr>
          <w:rFonts w:asciiTheme="minorHAnsi" w:hAnsiTheme="minorHAnsi" w:cstheme="minorHAnsi"/>
          <w:sz w:val="22"/>
          <w:szCs w:val="22"/>
        </w:rPr>
        <w:t xml:space="preserve">Europy </w:t>
      </w:r>
      <w:r w:rsidR="007F4CE2" w:rsidRPr="007F4CE2">
        <w:rPr>
          <w:rFonts w:asciiTheme="minorHAnsi" w:hAnsiTheme="minorHAnsi" w:cstheme="minorHAnsi"/>
          <w:sz w:val="22"/>
          <w:szCs w:val="22"/>
        </w:rPr>
        <w:t xml:space="preserve">z dnia 22 maja 2018 r. w sprawie kompetencji kluczowych w procesie uczenia się przez całe życie (Tekst mający znaczenie dla EOG) (2018/C 189/01), </w:t>
      </w:r>
      <w:hyperlink r:id="rId8" w:history="1">
        <w:r w:rsidR="007F4CE2" w:rsidRPr="007F4CE2">
          <w:rPr>
            <w:rStyle w:val="Hipercze"/>
            <w:rFonts w:asciiTheme="minorHAnsi" w:hAnsiTheme="minorHAnsi" w:cstheme="minorHAnsi"/>
            <w:sz w:val="22"/>
            <w:szCs w:val="22"/>
          </w:rPr>
          <w:t>https://eur-lex.europa.eu/legal-content/PL/TXT/PDF/?uri=CELEX:32018H0604(01)</w:t>
        </w:r>
      </w:hyperlink>
    </w:p>
    <w:p w14:paraId="104F345E" w14:textId="00DF4996" w:rsidR="002E53F6" w:rsidRDefault="006A69CF" w:rsidP="002E53F6">
      <w:pPr>
        <w:pStyle w:val="Akapitzlist"/>
        <w:numPr>
          <w:ilvl w:val="0"/>
          <w:numId w:val="1"/>
        </w:numPr>
      </w:pPr>
      <w:hyperlink r:id="rId9" w:tgtFrame="_blank" w:tooltip="Kliknij, aby uzyskać dostęp do źródła tej definicji w nowej karcie" w:history="1">
        <w:r w:rsidR="002E53F6" w:rsidRPr="002E53F6">
          <w:rPr>
            <w:rStyle w:val="Hipercze"/>
            <w:rFonts w:cstheme="minorHAnsi"/>
            <w:color w:val="auto"/>
            <w:shd w:val="clear" w:color="auto" w:fill="FFFFFF"/>
          </w:rPr>
          <w:t>UNESCO 2016: Praktyki szkolne i dydaktyczne w obliczu wyzwań XXI wieku: lekcje z regionu Azji i Pacyfiku, raport syntetyczny regionalny; regionalne badanie z 2014 r. dotyczące kompetencji przekrojowych w polityce i praktyce edukacyjnej (faza II)</w:t>
        </w:r>
      </w:hyperlink>
      <w:r w:rsidR="002E53F6" w:rsidRPr="002E53F6">
        <w:rPr>
          <w:rFonts w:cstheme="minorHAnsi"/>
        </w:rPr>
        <w:t xml:space="preserve"> </w:t>
      </w:r>
      <w:hyperlink r:id="rId10" w:anchor="start" w:history="1">
        <w:r w:rsidR="002E53F6" w:rsidRPr="00BD3C2F">
          <w:rPr>
            <w:rStyle w:val="Hipercze"/>
          </w:rPr>
          <w:t>https://unevoc.unesco.org/home/TVETipedia+Glossary/show=term/term=Transversal+skills#start</w:t>
        </w:r>
      </w:hyperlink>
    </w:p>
    <w:p w14:paraId="15626681" w14:textId="24D660AB" w:rsidR="002E53F6" w:rsidRDefault="00062B66" w:rsidP="002E53F6">
      <w:pPr>
        <w:pStyle w:val="Akapitzlist"/>
        <w:numPr>
          <w:ilvl w:val="0"/>
          <w:numId w:val="1"/>
        </w:numPr>
      </w:pPr>
      <w:r>
        <w:t xml:space="preserve">PARP, raporty </w:t>
      </w:r>
      <w:hyperlink r:id="rId11" w:history="1">
        <w:r w:rsidRPr="00BD3C2F">
          <w:rPr>
            <w:rStyle w:val="Hipercze"/>
          </w:rPr>
          <w:t>https://www.parp.gov.pl/component/publications/publication/rynek-pracy-edukacja-kompetencje-aktualne-trendy-i-wyniki-badan-styczen-2024</w:t>
        </w:r>
      </w:hyperlink>
    </w:p>
    <w:p w14:paraId="4F474A99" w14:textId="071802D3" w:rsidR="004863DB" w:rsidRDefault="004863DB" w:rsidP="002E53F6">
      <w:pPr>
        <w:pStyle w:val="Akapitzlist"/>
        <w:numPr>
          <w:ilvl w:val="0"/>
          <w:numId w:val="1"/>
        </w:numPr>
      </w:pPr>
      <w:r>
        <w:t>Rama kompetencj</w:t>
      </w:r>
      <w:r w:rsidR="00C06916">
        <w:t xml:space="preserve">i transwersalnych (przekrojowych) </w:t>
      </w:r>
      <w:hyperlink r:id="rId12" w:history="1">
        <w:r w:rsidR="00C06916" w:rsidRPr="00BD3C2F">
          <w:rPr>
            <w:rStyle w:val="Hipercze"/>
          </w:rPr>
          <w:t>https://www.transvalproject.eu/wp-content/uploads/2022/02/D2.3-Transversal-Competence-Framework_PL.pdf</w:t>
        </w:r>
      </w:hyperlink>
    </w:p>
    <w:p w14:paraId="2FE6262E" w14:textId="77777777" w:rsidR="00062B66" w:rsidRPr="002E53F6" w:rsidRDefault="00062B66" w:rsidP="00056240">
      <w:pPr>
        <w:pStyle w:val="Akapitzlist"/>
      </w:pPr>
    </w:p>
    <w:p w14:paraId="4510E2CE" w14:textId="77777777" w:rsidR="002E53F6" w:rsidRPr="002E53F6" w:rsidRDefault="002E53F6" w:rsidP="002E53F6"/>
    <w:p w14:paraId="4DB9E359" w14:textId="77777777" w:rsidR="007F4CE2" w:rsidRPr="007F4CE2" w:rsidRDefault="007F4CE2" w:rsidP="007F4CE2">
      <w:pPr>
        <w:rPr>
          <w:rFonts w:cstheme="minorHAnsi"/>
        </w:rPr>
      </w:pPr>
    </w:p>
    <w:sectPr w:rsidR="007F4CE2" w:rsidRPr="007F4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liss Pro Ligh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ilo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951E8"/>
    <w:multiLevelType w:val="hybridMultilevel"/>
    <w:tmpl w:val="D0388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92"/>
    <w:rsid w:val="00007374"/>
    <w:rsid w:val="00044FC5"/>
    <w:rsid w:val="00056240"/>
    <w:rsid w:val="00062B66"/>
    <w:rsid w:val="00197AD6"/>
    <w:rsid w:val="00255208"/>
    <w:rsid w:val="002D05BB"/>
    <w:rsid w:val="002E2B14"/>
    <w:rsid w:val="002E53F6"/>
    <w:rsid w:val="003C0A92"/>
    <w:rsid w:val="003C209A"/>
    <w:rsid w:val="004863DB"/>
    <w:rsid w:val="005E1DC6"/>
    <w:rsid w:val="006A69CF"/>
    <w:rsid w:val="006D5F5B"/>
    <w:rsid w:val="00795213"/>
    <w:rsid w:val="00795E96"/>
    <w:rsid w:val="007F4CE2"/>
    <w:rsid w:val="008729B2"/>
    <w:rsid w:val="009E201F"/>
    <w:rsid w:val="00A212CD"/>
    <w:rsid w:val="00A42345"/>
    <w:rsid w:val="00A562B6"/>
    <w:rsid w:val="00A71168"/>
    <w:rsid w:val="00A81E4D"/>
    <w:rsid w:val="00C06916"/>
    <w:rsid w:val="00C515E3"/>
    <w:rsid w:val="00C95EE7"/>
    <w:rsid w:val="00EB4808"/>
    <w:rsid w:val="00ED05A5"/>
    <w:rsid w:val="00FA1CB3"/>
    <w:rsid w:val="00FD04F0"/>
    <w:rsid w:val="00FD505A"/>
    <w:rsid w:val="00FF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0B61F"/>
  <w15:chartTrackingRefBased/>
  <w15:docId w15:val="{FE127B7F-E3CB-4E4A-8561-1CDBFD59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E201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201F"/>
    <w:rPr>
      <w:color w:val="605E5C"/>
      <w:shd w:val="clear" w:color="auto" w:fill="E1DFDD"/>
    </w:rPr>
  </w:style>
  <w:style w:type="paragraph" w:customStyle="1" w:styleId="Pa2">
    <w:name w:val="Pa2"/>
    <w:basedOn w:val="Normalny"/>
    <w:next w:val="Normalny"/>
    <w:uiPriority w:val="99"/>
    <w:rsid w:val="00EB4808"/>
    <w:pPr>
      <w:autoSpaceDE w:val="0"/>
      <w:autoSpaceDN w:val="0"/>
      <w:adjustRightInd w:val="0"/>
      <w:spacing w:after="0" w:line="201" w:lineRule="atLeast"/>
    </w:pPr>
    <w:rPr>
      <w:rFonts w:ascii="Bliss Pro Light" w:hAnsi="Bliss Pro Light"/>
      <w:sz w:val="24"/>
      <w:szCs w:val="24"/>
    </w:rPr>
  </w:style>
  <w:style w:type="character" w:customStyle="1" w:styleId="A2">
    <w:name w:val="A2"/>
    <w:uiPriority w:val="99"/>
    <w:rsid w:val="00EB4808"/>
    <w:rPr>
      <w:rFonts w:cs="Bliss Pro Light"/>
      <w:color w:val="000000"/>
      <w:sz w:val="16"/>
      <w:szCs w:val="16"/>
    </w:rPr>
  </w:style>
  <w:style w:type="paragraph" w:customStyle="1" w:styleId="Pa0">
    <w:name w:val="Pa0"/>
    <w:basedOn w:val="Normalny"/>
    <w:next w:val="Normalny"/>
    <w:uiPriority w:val="99"/>
    <w:rsid w:val="00EB4808"/>
    <w:pPr>
      <w:autoSpaceDE w:val="0"/>
      <w:autoSpaceDN w:val="0"/>
      <w:adjustRightInd w:val="0"/>
      <w:spacing w:after="0" w:line="901" w:lineRule="atLeast"/>
    </w:pPr>
    <w:rPr>
      <w:rFonts w:ascii="Bilo Black" w:hAnsi="Bilo Black"/>
      <w:sz w:val="24"/>
      <w:szCs w:val="24"/>
    </w:rPr>
  </w:style>
  <w:style w:type="paragraph" w:customStyle="1" w:styleId="Pa1">
    <w:name w:val="Pa1"/>
    <w:basedOn w:val="Normalny"/>
    <w:next w:val="Normalny"/>
    <w:uiPriority w:val="99"/>
    <w:rsid w:val="00EB4808"/>
    <w:pPr>
      <w:autoSpaceDE w:val="0"/>
      <w:autoSpaceDN w:val="0"/>
      <w:adjustRightInd w:val="0"/>
      <w:spacing w:after="0" w:line="361" w:lineRule="atLeast"/>
    </w:pPr>
    <w:rPr>
      <w:rFonts w:ascii="Bilo Black" w:hAnsi="Bilo Black"/>
      <w:sz w:val="24"/>
      <w:szCs w:val="24"/>
    </w:rPr>
  </w:style>
  <w:style w:type="paragraph" w:styleId="Akapitzlist">
    <w:name w:val="List Paragraph"/>
    <w:basedOn w:val="Normalny"/>
    <w:uiPriority w:val="34"/>
    <w:qFormat/>
    <w:rsid w:val="00EB4808"/>
    <w:pPr>
      <w:ind w:left="720"/>
      <w:contextualSpacing/>
    </w:pPr>
  </w:style>
  <w:style w:type="paragraph" w:customStyle="1" w:styleId="Default">
    <w:name w:val="Default"/>
    <w:rsid w:val="00A81E4D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F03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PDF/?uri=CELEX:32018H0604(01)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edukacja/czesc-ogolna-zsu-2030" TargetMode="External"/><Relationship Id="rId12" Type="http://schemas.openxmlformats.org/officeDocument/2006/relationships/hyperlink" Target="https://www.transvalproject.eu/wp-content/uploads/2022/02/D2.3-Transversal-Competence-Framework_P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edukacja/zintegrowana-strategia-umiejetnosci-2030-czesc-szczegolowa--dokument-przyjety-przez-rade-ministrow" TargetMode="External"/><Relationship Id="rId11" Type="http://schemas.openxmlformats.org/officeDocument/2006/relationships/hyperlink" Target="https://www.parp.gov.pl/component/publications/publication/rynek-pracy-edukacja-kompetencje-aktualne-trendy-i-wyniki-badan-styczen-2024" TargetMode="External"/><Relationship Id="rId5" Type="http://schemas.openxmlformats.org/officeDocument/2006/relationships/hyperlink" Target="https://isap.sejm.gov.pl/isap.nsf/DocDetails.xsp?id=WDU20190000325" TargetMode="External"/><Relationship Id="rId10" Type="http://schemas.openxmlformats.org/officeDocument/2006/relationships/hyperlink" Target="https://unevoc.unesco.org/home/TVETipedia+Glossary/show=term/term=Transversal+skil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nesdoc.unesco.org/images/0024/002440/244022e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IBE-2698</dc:creator>
  <cp:keywords/>
  <dc:description/>
  <cp:lastModifiedBy>ibe-2646</cp:lastModifiedBy>
  <cp:revision>2</cp:revision>
  <dcterms:created xsi:type="dcterms:W3CDTF">2024-09-05T14:54:00Z</dcterms:created>
  <dcterms:modified xsi:type="dcterms:W3CDTF">2024-09-05T14:54:00Z</dcterms:modified>
</cp:coreProperties>
</file>